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77241C0D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4F33D5">
        <w:rPr>
          <w:noProof w:val="0"/>
          <w:sz w:val="24"/>
          <w:szCs w:val="24"/>
        </w:rPr>
        <w:t>WG3</w:t>
      </w:r>
      <w:r w:rsidR="00936071">
        <w:rPr>
          <w:noProof w:val="0"/>
          <w:sz w:val="24"/>
          <w:szCs w:val="24"/>
        </w:rPr>
        <w:t xml:space="preserve"> </w:t>
      </w:r>
      <w:r w:rsidR="00F97596">
        <w:rPr>
          <w:noProof w:val="0"/>
          <w:sz w:val="24"/>
          <w:szCs w:val="24"/>
        </w:rPr>
        <w:t>m</w:t>
      </w:r>
      <w:r w:rsidR="00902DB9" w:rsidRPr="00B266B0">
        <w:rPr>
          <w:noProof w:val="0"/>
          <w:sz w:val="24"/>
          <w:szCs w:val="24"/>
        </w:rPr>
        <w:t>eeting</w:t>
      </w:r>
      <w:r w:rsidR="00C47A0D">
        <w:rPr>
          <w:noProof w:val="0"/>
          <w:sz w:val="24"/>
          <w:szCs w:val="24"/>
        </w:rPr>
        <w:t xml:space="preserve"> #97</w:t>
      </w:r>
      <w:r w:rsidRPr="00B266B0">
        <w:rPr>
          <w:bCs/>
          <w:noProof w:val="0"/>
          <w:sz w:val="24"/>
          <w:szCs w:val="24"/>
        </w:rPr>
        <w:tab/>
      </w:r>
      <w:r w:rsidR="00C47A0D">
        <w:rPr>
          <w:bCs/>
          <w:noProof w:val="0"/>
          <w:sz w:val="24"/>
          <w:szCs w:val="24"/>
        </w:rPr>
        <w:t>R3-17</w:t>
      </w:r>
      <w:r w:rsidR="00A603F5">
        <w:rPr>
          <w:bCs/>
          <w:noProof w:val="0"/>
          <w:sz w:val="24"/>
          <w:szCs w:val="24"/>
        </w:rPr>
        <w:t>2710</w:t>
      </w:r>
    </w:p>
    <w:p w14:paraId="231362B2" w14:textId="25AFE6DD" w:rsidR="00CD4C7B" w:rsidRPr="00B266B0" w:rsidRDefault="00C47A0D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Berlin, Germany, EU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21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 w:rsidR="00F97596">
        <w:rPr>
          <w:rFonts w:eastAsia="SimSun"/>
          <w:noProof w:val="0"/>
          <w:sz w:val="24"/>
          <w:szCs w:val="24"/>
          <w:lang w:eastAsia="zh-CN"/>
        </w:rPr>
        <w:t>2</w:t>
      </w:r>
      <w:r>
        <w:rPr>
          <w:rFonts w:eastAsia="SimSun"/>
          <w:noProof w:val="0"/>
          <w:sz w:val="24"/>
          <w:szCs w:val="24"/>
          <w:lang w:eastAsia="zh-CN"/>
        </w:rPr>
        <w:t>5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Aug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7BC465C0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A603F5" w:rsidRPr="00A603F5">
        <w:rPr>
          <w:rFonts w:cs="Arial"/>
          <w:b/>
          <w:bCs/>
          <w:sz w:val="24"/>
          <w:lang w:eastAsia="ja-JP"/>
        </w:rPr>
        <w:t>10.8.1.5</w:t>
      </w:r>
    </w:p>
    <w:p w14:paraId="6A1BC0C1" w14:textId="7B6C5A1D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C47A0D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106CBC02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97596">
        <w:rPr>
          <w:rFonts w:ascii="Arial" w:hAnsi="Arial" w:cs="Arial"/>
          <w:b/>
          <w:bCs/>
          <w:sz w:val="24"/>
        </w:rPr>
        <w:t>RRC tunnelling in MR-DC scenarios</w:t>
      </w:r>
    </w:p>
    <w:p w14:paraId="7DF86DB4" w14:textId="4FCB8326"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A603F5">
        <w:rPr>
          <w:rFonts w:ascii="Arial" w:hAnsi="Arial" w:cs="Arial"/>
          <w:b/>
          <w:bCs/>
          <w:sz w:val="24"/>
        </w:rPr>
        <w:t>Decission</w:t>
      </w:r>
      <w:bookmarkStart w:id="1" w:name="_GoBack"/>
      <w:bookmarkEnd w:id="1"/>
    </w:p>
    <w:p w14:paraId="4004D522" w14:textId="77777777" w:rsidR="00344999" w:rsidRPr="00B266B0" w:rsidRDefault="00344999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F68E465" w14:textId="416745CD" w:rsidR="00276396" w:rsidRPr="004F33D5" w:rsidRDefault="00087E4E" w:rsidP="00CD4C7B">
      <w:pPr>
        <w:rPr>
          <w:lang w:val="en-US"/>
        </w:rPr>
      </w:pPr>
      <w:r>
        <w:rPr>
          <w:lang w:val="en-US"/>
        </w:rPr>
        <w:t xml:space="preserve">Due to the specific architecture of the MR-DC, where two interworking nodes serve different RATs, the exchange of the RRC messages over X2 or Xn needs to be designed with particular care. </w:t>
      </w:r>
      <w:r w:rsidR="0015118F">
        <w:rPr>
          <w:lang w:val="en-US"/>
        </w:rPr>
        <w:t xml:space="preserve">At the last ad-hoc meeting, it has already been decided the RRC PDCP PDUs will be transferred in the CP. </w:t>
      </w:r>
      <w:r>
        <w:rPr>
          <w:lang w:val="en-US"/>
        </w:rPr>
        <w:t xml:space="preserve">In this paper, we </w:t>
      </w:r>
      <w:r w:rsidR="0015118F">
        <w:rPr>
          <w:lang w:val="en-US"/>
        </w:rPr>
        <w:t>discuss further details of the solution</w:t>
      </w:r>
      <w:r>
        <w:rPr>
          <w:lang w:val="en-US"/>
        </w:rPr>
        <w:t>.</w:t>
      </w:r>
    </w:p>
    <w:p w14:paraId="127ACA6D" w14:textId="3E645D20" w:rsidR="00CD4C7B" w:rsidRPr="00120C0A" w:rsidRDefault="00CD4C7B" w:rsidP="00CD4C7B">
      <w:pPr>
        <w:pStyle w:val="Heading1"/>
        <w:rPr>
          <w:lang w:val="en-US"/>
        </w:rPr>
      </w:pPr>
      <w:r w:rsidRPr="00120C0A">
        <w:rPr>
          <w:lang w:val="en-US"/>
        </w:rPr>
        <w:t>2</w:t>
      </w:r>
      <w:r w:rsidRPr="00120C0A">
        <w:rPr>
          <w:lang w:val="en-US"/>
        </w:rPr>
        <w:tab/>
      </w:r>
      <w:r w:rsidR="004F33D5" w:rsidRPr="00120C0A">
        <w:rPr>
          <w:lang w:val="en-US"/>
        </w:rPr>
        <w:t>Discussion</w:t>
      </w:r>
    </w:p>
    <w:p w14:paraId="461660BF" w14:textId="37B5F3B4" w:rsidR="00DF1888" w:rsidRDefault="00DF1888" w:rsidP="00DF1888">
      <w:r>
        <w:t>There are 3, rather different, scenarios where RRC information needs to be exchanged between the interworking nodes:</w:t>
      </w:r>
    </w:p>
    <w:p w14:paraId="798BD7C2" w14:textId="4E8ACC5C" w:rsidR="00DF1888" w:rsidRPr="00DF1888" w:rsidRDefault="00DF1888" w:rsidP="00DF1888">
      <w:pPr>
        <w:ind w:left="567" w:right="569"/>
        <w:rPr>
          <w:u w:val="single"/>
        </w:rPr>
      </w:pPr>
      <w:r w:rsidRPr="00DF1888">
        <w:rPr>
          <w:u w:val="single"/>
        </w:rPr>
        <w:t>(1) Providing configuration of the other RAT</w:t>
      </w:r>
    </w:p>
    <w:p w14:paraId="04E13540" w14:textId="01EACB6E" w:rsidR="00DF1888" w:rsidRDefault="00DF1888" w:rsidP="00DF1888">
      <w:pPr>
        <w:ind w:left="567" w:right="569"/>
      </w:pPr>
      <w:r>
        <w:t xml:space="preserve">The scenario concerns the situation, where the UE needs to be configured with the information typical to the other RAT, e.g. at the </w:t>
      </w:r>
      <w:r w:rsidR="00294D0F">
        <w:t xml:space="preserve">SN </w:t>
      </w:r>
      <w:r>
        <w:t xml:space="preserve">addition or modification. The RRC message is provided from the </w:t>
      </w:r>
      <w:r w:rsidR="00294D0F">
        <w:t>MN</w:t>
      </w:r>
      <w:r>
        <w:t xml:space="preserve"> and appended to the </w:t>
      </w:r>
      <w:r w:rsidR="00294D0F">
        <w:t xml:space="preserve">MN </w:t>
      </w:r>
      <w:r>
        <w:t>RRC reconfiguration message.</w:t>
      </w:r>
    </w:p>
    <w:p w14:paraId="5DABE306" w14:textId="49E739A8" w:rsidR="00322086" w:rsidRPr="00DF1888" w:rsidRDefault="00DF1888" w:rsidP="00DF1888">
      <w:pPr>
        <w:ind w:left="567" w:right="569"/>
        <w:rPr>
          <w:u w:val="single"/>
        </w:rPr>
      </w:pPr>
      <w:r w:rsidRPr="00DF1888">
        <w:rPr>
          <w:u w:val="single"/>
        </w:rPr>
        <w:t>(2</w:t>
      </w:r>
      <w:r w:rsidR="00A07D5A" w:rsidRPr="00DF1888">
        <w:rPr>
          <w:u w:val="single"/>
        </w:rPr>
        <w:t xml:space="preserve">) </w:t>
      </w:r>
      <w:r w:rsidR="00AC1CF4">
        <w:rPr>
          <w:u w:val="single"/>
        </w:rPr>
        <w:t xml:space="preserve">MCG split </w:t>
      </w:r>
      <w:r w:rsidR="008753F5">
        <w:rPr>
          <w:u w:val="single"/>
        </w:rPr>
        <w:t>SRB</w:t>
      </w:r>
      <w:r w:rsidR="00BC4D6B">
        <w:rPr>
          <w:u w:val="single"/>
        </w:rPr>
        <w:t xml:space="preserve"> / SCG </w:t>
      </w:r>
      <w:r w:rsidR="004647A0">
        <w:rPr>
          <w:u w:val="single"/>
        </w:rPr>
        <w:t xml:space="preserve">SRB </w:t>
      </w:r>
      <w:r w:rsidR="00BC4D6B">
        <w:rPr>
          <w:u w:val="single"/>
        </w:rPr>
        <w:t>Diversity</w:t>
      </w:r>
      <w:r w:rsidR="003E77FD">
        <w:rPr>
          <w:u w:val="single"/>
        </w:rPr>
        <w:t xml:space="preserve"> (p</w:t>
      </w:r>
      <w:r w:rsidR="00322086" w:rsidRPr="00DF1888">
        <w:rPr>
          <w:u w:val="single"/>
        </w:rPr>
        <w:t>assing RRC messages via the other node</w:t>
      </w:r>
      <w:r w:rsidR="003E77FD">
        <w:rPr>
          <w:u w:val="single"/>
        </w:rPr>
        <w:t>)</w:t>
      </w:r>
      <w:r w:rsidR="00322086" w:rsidRPr="00DF1888">
        <w:rPr>
          <w:u w:val="single"/>
        </w:rPr>
        <w:t>:</w:t>
      </w:r>
    </w:p>
    <w:p w14:paraId="6464FB81" w14:textId="68B5D887" w:rsidR="00980156" w:rsidRDefault="00322086" w:rsidP="00DF1888">
      <w:pPr>
        <w:ind w:left="567" w:right="569"/>
      </w:pPr>
      <w:r>
        <w:t xml:space="preserve">The scenario concern </w:t>
      </w:r>
      <w:r w:rsidR="00BA23D3">
        <w:t xml:space="preserve">RRC </w:t>
      </w:r>
      <w:r w:rsidR="00BC4D6B">
        <w:t xml:space="preserve">PDCP </w:t>
      </w:r>
      <w:r w:rsidR="00BA23D3">
        <w:t>PDUs</w:t>
      </w:r>
      <w:r>
        <w:t xml:space="preserve"> that are transferred via the assisting node</w:t>
      </w:r>
      <w:r w:rsidR="00BA23D3">
        <w:t xml:space="preserve"> (via SgNB </w:t>
      </w:r>
      <w:r w:rsidR="00BC4D6B">
        <w:t>in case of the MSC Split SRB and via MeNB in case of SCG Diversity</w:t>
      </w:r>
      <w:r w:rsidR="00BA23D3">
        <w:t>)</w:t>
      </w:r>
      <w:r>
        <w:t xml:space="preserve">. In this case, the message must be forwarded to the appropriate UE using the RAT of the assisting node (e.g. </w:t>
      </w:r>
      <w:r w:rsidR="00BA23D3">
        <w:t>LTE</w:t>
      </w:r>
      <w:r>
        <w:t xml:space="preserve"> RRC message is encapsulated in the </w:t>
      </w:r>
      <w:r w:rsidR="00BA23D3">
        <w:t>NR</w:t>
      </w:r>
      <w:r>
        <w:t xml:space="preserve"> RRC messag</w:t>
      </w:r>
      <w:r w:rsidR="00DF1888">
        <w:t>e</w:t>
      </w:r>
      <w:r w:rsidR="004647A0">
        <w:t xml:space="preserve"> or vice versa</w:t>
      </w:r>
      <w:r>
        <w:t>).</w:t>
      </w:r>
    </w:p>
    <w:p w14:paraId="4ADDD9F6" w14:textId="5DDFE927" w:rsidR="00A07D5A" w:rsidRPr="00DF1888" w:rsidRDefault="00A07D5A" w:rsidP="00DF1888">
      <w:pPr>
        <w:ind w:left="567" w:right="569"/>
        <w:rPr>
          <w:u w:val="single"/>
        </w:rPr>
      </w:pPr>
      <w:r w:rsidRPr="00DF1888">
        <w:rPr>
          <w:u w:val="single"/>
        </w:rPr>
        <w:t xml:space="preserve">(3) </w:t>
      </w:r>
      <w:r w:rsidR="00BA23D3">
        <w:rPr>
          <w:u w:val="single"/>
        </w:rPr>
        <w:t>E</w:t>
      </w:r>
      <w:r w:rsidRPr="00DF1888">
        <w:rPr>
          <w:u w:val="single"/>
        </w:rPr>
        <w:t>xchange of the RRC information between nodes</w:t>
      </w:r>
      <w:r w:rsidR="00BA23D3">
        <w:rPr>
          <w:u w:val="single"/>
        </w:rPr>
        <w:t xml:space="preserve"> (if needed, up to RAN2’s decision)</w:t>
      </w:r>
    </w:p>
    <w:p w14:paraId="4DCD3F8A" w14:textId="69188D9A" w:rsidR="00A07D5A" w:rsidRDefault="00A07D5A" w:rsidP="00DF1888">
      <w:pPr>
        <w:ind w:left="567" w:right="569"/>
      </w:pPr>
      <w:r>
        <w:t xml:space="preserve">In this scenario, the information concerns only the interworking nodes and is not forwarded to the UE. At this moment, the only case where such </w:t>
      </w:r>
      <w:r w:rsidR="00BA23D3">
        <w:t>exchange may possibly</w:t>
      </w:r>
      <w:r>
        <w:t xml:space="preserve"> </w:t>
      </w:r>
      <w:r w:rsidR="004647A0">
        <w:t xml:space="preserve">be </w:t>
      </w:r>
      <w:r>
        <w:t>needed is the capability information exchange between the eNB and the gNB.</w:t>
      </w:r>
      <w:r w:rsidR="00BA23D3">
        <w:t xml:space="preserve"> This is still under discussion though.</w:t>
      </w:r>
    </w:p>
    <w:p w14:paraId="7D15DE2B" w14:textId="09F2C628" w:rsidR="005607B4" w:rsidRDefault="00B2394F" w:rsidP="00E97871">
      <w:r>
        <w:t xml:space="preserve">Cases (1) and (3) can use a typical RRC container IE within the </w:t>
      </w:r>
      <w:r w:rsidR="00576882">
        <w:t xml:space="preserve">CP. It is the case (2), where the RRC PDCP PDU needs to be forwarded to the assisting node </w:t>
      </w:r>
      <w:r w:rsidR="00BC4D6B">
        <w:t>and forwarded as a complete RRC message. Therefore, below, we will focus on case (2).</w:t>
      </w:r>
    </w:p>
    <w:p w14:paraId="4C19181B" w14:textId="344656D6" w:rsidR="00B830DC" w:rsidRDefault="00B830DC" w:rsidP="00E97871">
      <w:r>
        <w:t xml:space="preserve">This </w:t>
      </w:r>
      <w:r w:rsidR="00BC4D6B">
        <w:t xml:space="preserve">RRC </w:t>
      </w:r>
      <w:r>
        <w:t xml:space="preserve">PDCP PDU must be transported in the X2AP/XnAP as a bit string. However, contrary to the RRC configuration, which belongs always to some X2/Xn procedure, the </w:t>
      </w:r>
      <w:r w:rsidR="005229AD" w:rsidRPr="005229AD">
        <w:t>MCG split SRB</w:t>
      </w:r>
      <w:r>
        <w:t xml:space="preserve"> may need to be exploited also independently. Therefore, it is necessary to create a new class-2 procedure to enable </w:t>
      </w:r>
      <w:r w:rsidR="005229AD" w:rsidRPr="005229AD">
        <w:t>MCG split SRB</w:t>
      </w:r>
      <w:r w:rsidR="00BC4D6B">
        <w:t xml:space="preserve"> (and to transfer the necessary additional information, like the SRB type)</w:t>
      </w:r>
      <w:r>
        <w:t>.</w:t>
      </w:r>
    </w:p>
    <w:p w14:paraId="25F1EC1C" w14:textId="440DCD1F" w:rsidR="00BC4D6B" w:rsidRPr="00355BDD" w:rsidRDefault="00BC4D6B" w:rsidP="00BC4D6B">
      <w:pPr>
        <w:rPr>
          <w:b/>
        </w:rPr>
      </w:pPr>
      <w:r w:rsidRPr="00355BDD">
        <w:rPr>
          <w:b/>
        </w:rPr>
        <w:t xml:space="preserve">Proposal </w:t>
      </w:r>
      <w:r>
        <w:rPr>
          <w:b/>
        </w:rPr>
        <w:t>1</w:t>
      </w:r>
      <w:r w:rsidRPr="00355BDD">
        <w:rPr>
          <w:b/>
        </w:rPr>
        <w:t xml:space="preserve">: </w:t>
      </w:r>
      <w:r>
        <w:rPr>
          <w:b/>
        </w:rPr>
        <w:t>A new class-2 procedure shall be defined to enable transfer of the RRC PDCP PDUs over X2AP/XnAP.</w:t>
      </w:r>
    </w:p>
    <w:p w14:paraId="2EF73352" w14:textId="41A1A88B" w:rsidR="005C4A32" w:rsidRPr="00BC4D6B" w:rsidRDefault="00BC4D6B" w:rsidP="005C4A32">
      <w:r w:rsidRPr="00BC4D6B">
        <w:t xml:space="preserve">A collateral </w:t>
      </w:r>
      <w:r>
        <w:t xml:space="preserve">aspect, also discussed at the last meeting, is the need to request the assisting node to enable the MSC Split SRB. This is questionable: RRC transfer </w:t>
      </w:r>
      <w:r w:rsidR="004647A0">
        <w:t>does not affect UP resources and normally the case of “RRC overload” is not considered as likely. Hence, a better solution than “request-response” is a notification of the assisting node that MCG Split SRB or SCG SRB Diversity may be used. (It is worth noting that a request with such a notification may still be rejected.)</w:t>
      </w:r>
    </w:p>
    <w:p w14:paraId="256C75EA" w14:textId="33AFA74D" w:rsidR="004647A0" w:rsidRPr="00355BDD" w:rsidRDefault="004647A0" w:rsidP="004647A0">
      <w:pPr>
        <w:rPr>
          <w:b/>
        </w:rPr>
      </w:pPr>
      <w:r w:rsidRPr="00355BDD">
        <w:rPr>
          <w:b/>
        </w:rPr>
        <w:lastRenderedPageBreak/>
        <w:t xml:space="preserve">Proposal </w:t>
      </w:r>
      <w:r>
        <w:rPr>
          <w:b/>
        </w:rPr>
        <w:t>2</w:t>
      </w:r>
      <w:r w:rsidRPr="00355BDD">
        <w:rPr>
          <w:b/>
        </w:rPr>
        <w:t xml:space="preserve">: </w:t>
      </w:r>
      <w:r>
        <w:rPr>
          <w:b/>
        </w:rPr>
        <w:t>The mechanism to transfer RRC PDCP PDUs over X2/Xn shall include a notification about the planned transfer of the RRC messages.</w:t>
      </w:r>
    </w:p>
    <w:p w14:paraId="5B5C556D" w14:textId="24A82A21" w:rsidR="004F33D5" w:rsidRPr="000A78CD" w:rsidRDefault="004F33D5" w:rsidP="004F33D5">
      <w:pPr>
        <w:pStyle w:val="Heading1"/>
        <w:rPr>
          <w:lang w:val="en-US"/>
        </w:rPr>
      </w:pPr>
      <w:r w:rsidRPr="000A78CD">
        <w:rPr>
          <w:lang w:val="en-US"/>
        </w:rPr>
        <w:t>3</w:t>
      </w:r>
      <w:r w:rsidRPr="000A78CD">
        <w:rPr>
          <w:lang w:val="en-US"/>
        </w:rPr>
        <w:tab/>
        <w:t>Summary</w:t>
      </w:r>
    </w:p>
    <w:p w14:paraId="3884F67D" w14:textId="45A4D4CB" w:rsidR="00637EF2" w:rsidRDefault="00637EF2" w:rsidP="00637EF2">
      <w:r>
        <w:t xml:space="preserve">In this paper, we’ve analysed </w:t>
      </w:r>
      <w:r w:rsidR="006F3A0F">
        <w:t xml:space="preserve">1 of the </w:t>
      </w:r>
      <w:r>
        <w:t>3 cases where the RRC information needs to be transferred between the interworking nodes</w:t>
      </w:r>
      <w:r w:rsidR="006F3A0F">
        <w:t>: the MCG Split SRB and SCG SRB Diversity</w:t>
      </w:r>
      <w:r>
        <w:t xml:space="preserve">. </w:t>
      </w:r>
      <w:r w:rsidR="006F3A0F">
        <w:t>For this case, w</w:t>
      </w:r>
      <w:r>
        <w:t>e’ve concluded that:</w:t>
      </w:r>
    </w:p>
    <w:p w14:paraId="52C32F7C" w14:textId="7B580F02" w:rsidR="00637EF2" w:rsidRPr="00637EF2" w:rsidRDefault="006F3A0F" w:rsidP="006F3A0F">
      <w:pPr>
        <w:pStyle w:val="ListParagraph"/>
        <w:numPr>
          <w:ilvl w:val="0"/>
          <w:numId w:val="6"/>
        </w:numPr>
      </w:pPr>
      <w:r w:rsidRPr="006F3A0F">
        <w:t>A new class-2 procedure shall be defined to enable transfer of the RRC PDCP PDUs over X2AP/XnAP.</w:t>
      </w:r>
    </w:p>
    <w:p w14:paraId="07EE0769" w14:textId="256396A3" w:rsidR="00637EF2" w:rsidRPr="00637EF2" w:rsidRDefault="006F3A0F" w:rsidP="006F3A0F">
      <w:pPr>
        <w:pStyle w:val="ListParagraph"/>
        <w:numPr>
          <w:ilvl w:val="0"/>
          <w:numId w:val="6"/>
        </w:numPr>
      </w:pPr>
      <w:r w:rsidRPr="006F3A0F">
        <w:t>The mechanism to transfer RRC PDCP PDUs over X2/Xn shall include a notification about the planned transfer of the RRC messages.</w:t>
      </w:r>
    </w:p>
    <w:p w14:paraId="2DE7BEEF" w14:textId="4444EC2A" w:rsidR="00637EF2" w:rsidRPr="006E13D1" w:rsidRDefault="00637EF2" w:rsidP="001B49C9">
      <w:r>
        <w:t>The TPs enabling the above proposal are provided in [1] and [2] (for X2AP and XnAP respectively).</w:t>
      </w:r>
      <w:r w:rsidR="009E3063">
        <w:t xml:space="preserve"> Stage-2 TP is provided in [3].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55E8CF44" w14:textId="5FEA8C3C" w:rsidR="004C692C" w:rsidRPr="006E13D1" w:rsidRDefault="00A603F5" w:rsidP="009E3063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R3-172711</w:t>
      </w:r>
      <w:r w:rsidR="009E3063">
        <w:t xml:space="preserve">, RAN3 </w:t>
      </w:r>
      <w:r w:rsidR="000D5E97">
        <w:t>#97</w:t>
      </w:r>
      <w:r w:rsidR="009E3063">
        <w:t xml:space="preserve">, </w:t>
      </w:r>
      <w:r w:rsidR="000D5E97">
        <w:t>August</w:t>
      </w:r>
      <w:r w:rsidR="009E3063">
        <w:t xml:space="preserve"> 2017</w:t>
      </w:r>
    </w:p>
    <w:p w14:paraId="19CC22C3" w14:textId="00E4B885" w:rsidR="009E3063" w:rsidRPr="006E13D1" w:rsidRDefault="00A603F5" w:rsidP="009E3063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R3-172713</w:t>
      </w:r>
      <w:r w:rsidR="000D5E97">
        <w:t>, RAN3 #97, August 2017</w:t>
      </w:r>
    </w:p>
    <w:p w14:paraId="7D694AEA" w14:textId="7D2B9B29" w:rsidR="009E3063" w:rsidRPr="006E13D1" w:rsidRDefault="00A603F5" w:rsidP="009E3063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R3-172712</w:t>
      </w:r>
      <w:r w:rsidR="000D5E97">
        <w:t>, RAN3 #97, August 2017</w:t>
      </w:r>
    </w:p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57B811" w14:textId="77777777" w:rsidR="005C45C7" w:rsidRDefault="005C45C7">
      <w:r>
        <w:separator/>
      </w:r>
    </w:p>
  </w:endnote>
  <w:endnote w:type="continuationSeparator" w:id="0">
    <w:p w14:paraId="5B2FF237" w14:textId="77777777" w:rsidR="005C45C7" w:rsidRDefault="005C4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EEA83B" w14:textId="77777777" w:rsidR="005C45C7" w:rsidRDefault="005C45C7">
      <w:r>
        <w:separator/>
      </w:r>
    </w:p>
  </w:footnote>
  <w:footnote w:type="continuationSeparator" w:id="0">
    <w:p w14:paraId="57024E22" w14:textId="77777777" w:rsidR="005C45C7" w:rsidRDefault="005C45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A34479A"/>
    <w:multiLevelType w:val="hybridMultilevel"/>
    <w:tmpl w:val="BFFE2E1C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494ACC"/>
    <w:multiLevelType w:val="hybridMultilevel"/>
    <w:tmpl w:val="95763C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48C3"/>
    <w:rsid w:val="00033397"/>
    <w:rsid w:val="00040095"/>
    <w:rsid w:val="00080512"/>
    <w:rsid w:val="00083240"/>
    <w:rsid w:val="00087E4E"/>
    <w:rsid w:val="00090468"/>
    <w:rsid w:val="000A78CD"/>
    <w:rsid w:val="000B7BCF"/>
    <w:rsid w:val="000C522B"/>
    <w:rsid w:val="000D16AA"/>
    <w:rsid w:val="000D58AB"/>
    <w:rsid w:val="000D5E97"/>
    <w:rsid w:val="000F4590"/>
    <w:rsid w:val="0010520C"/>
    <w:rsid w:val="00120C0A"/>
    <w:rsid w:val="00145075"/>
    <w:rsid w:val="0015118F"/>
    <w:rsid w:val="001741A0"/>
    <w:rsid w:val="00187381"/>
    <w:rsid w:val="00194CD0"/>
    <w:rsid w:val="001B49C9"/>
    <w:rsid w:val="001F168B"/>
    <w:rsid w:val="001F7831"/>
    <w:rsid w:val="00204045"/>
    <w:rsid w:val="0022606D"/>
    <w:rsid w:val="0023670E"/>
    <w:rsid w:val="00240C7D"/>
    <w:rsid w:val="00257829"/>
    <w:rsid w:val="00263E69"/>
    <w:rsid w:val="002747EC"/>
    <w:rsid w:val="00276396"/>
    <w:rsid w:val="002855BF"/>
    <w:rsid w:val="00294D0F"/>
    <w:rsid w:val="002B0763"/>
    <w:rsid w:val="002F0D22"/>
    <w:rsid w:val="002F7673"/>
    <w:rsid w:val="00307504"/>
    <w:rsid w:val="003172DC"/>
    <w:rsid w:val="00322086"/>
    <w:rsid w:val="00322114"/>
    <w:rsid w:val="003253A7"/>
    <w:rsid w:val="00326069"/>
    <w:rsid w:val="00344999"/>
    <w:rsid w:val="0035462D"/>
    <w:rsid w:val="00355BDD"/>
    <w:rsid w:val="003934FB"/>
    <w:rsid w:val="00393F78"/>
    <w:rsid w:val="003B40AD"/>
    <w:rsid w:val="003C4E37"/>
    <w:rsid w:val="003D4034"/>
    <w:rsid w:val="003E16BE"/>
    <w:rsid w:val="003E77FD"/>
    <w:rsid w:val="00401855"/>
    <w:rsid w:val="004647A0"/>
    <w:rsid w:val="00477455"/>
    <w:rsid w:val="004C1EC1"/>
    <w:rsid w:val="004C692C"/>
    <w:rsid w:val="004D3578"/>
    <w:rsid w:val="004D380D"/>
    <w:rsid w:val="004E213A"/>
    <w:rsid w:val="004F33D5"/>
    <w:rsid w:val="004F75EB"/>
    <w:rsid w:val="00503171"/>
    <w:rsid w:val="00506C28"/>
    <w:rsid w:val="005229AD"/>
    <w:rsid w:val="00534DA0"/>
    <w:rsid w:val="00543E6C"/>
    <w:rsid w:val="005607B4"/>
    <w:rsid w:val="00565087"/>
    <w:rsid w:val="0056573F"/>
    <w:rsid w:val="00576882"/>
    <w:rsid w:val="005923A6"/>
    <w:rsid w:val="005C45C7"/>
    <w:rsid w:val="005C4A32"/>
    <w:rsid w:val="005E0150"/>
    <w:rsid w:val="00611566"/>
    <w:rsid w:val="00637EF2"/>
    <w:rsid w:val="00646D99"/>
    <w:rsid w:val="00647F8A"/>
    <w:rsid w:val="00650F30"/>
    <w:rsid w:val="00656910"/>
    <w:rsid w:val="006777CB"/>
    <w:rsid w:val="006C66D8"/>
    <w:rsid w:val="006D1E24"/>
    <w:rsid w:val="006E1417"/>
    <w:rsid w:val="006F3A0F"/>
    <w:rsid w:val="006F6A2C"/>
    <w:rsid w:val="00702F60"/>
    <w:rsid w:val="00710201"/>
    <w:rsid w:val="00734A5B"/>
    <w:rsid w:val="00744E76"/>
    <w:rsid w:val="00751596"/>
    <w:rsid w:val="00757D40"/>
    <w:rsid w:val="00781F0F"/>
    <w:rsid w:val="0078727C"/>
    <w:rsid w:val="0079049D"/>
    <w:rsid w:val="007B18D8"/>
    <w:rsid w:val="007C095F"/>
    <w:rsid w:val="007E1361"/>
    <w:rsid w:val="008028A4"/>
    <w:rsid w:val="00813245"/>
    <w:rsid w:val="008753F5"/>
    <w:rsid w:val="008768CA"/>
    <w:rsid w:val="00877EF9"/>
    <w:rsid w:val="00880559"/>
    <w:rsid w:val="008B5306"/>
    <w:rsid w:val="008D5594"/>
    <w:rsid w:val="0090271F"/>
    <w:rsid w:val="00902DB9"/>
    <w:rsid w:val="0090466A"/>
    <w:rsid w:val="00936071"/>
    <w:rsid w:val="00940212"/>
    <w:rsid w:val="00942EC2"/>
    <w:rsid w:val="00961B32"/>
    <w:rsid w:val="00970DB3"/>
    <w:rsid w:val="00974BB0"/>
    <w:rsid w:val="00980156"/>
    <w:rsid w:val="00984C22"/>
    <w:rsid w:val="009A0AF3"/>
    <w:rsid w:val="009B07CD"/>
    <w:rsid w:val="009C19E9"/>
    <w:rsid w:val="009E3063"/>
    <w:rsid w:val="009E388D"/>
    <w:rsid w:val="00A07D5A"/>
    <w:rsid w:val="00A10F02"/>
    <w:rsid w:val="00A204CA"/>
    <w:rsid w:val="00A35808"/>
    <w:rsid w:val="00A53724"/>
    <w:rsid w:val="00A603F5"/>
    <w:rsid w:val="00A71450"/>
    <w:rsid w:val="00A82346"/>
    <w:rsid w:val="00A9671C"/>
    <w:rsid w:val="00AA1553"/>
    <w:rsid w:val="00AC1CF4"/>
    <w:rsid w:val="00B1147E"/>
    <w:rsid w:val="00B15449"/>
    <w:rsid w:val="00B179BA"/>
    <w:rsid w:val="00B2394F"/>
    <w:rsid w:val="00B47FD1"/>
    <w:rsid w:val="00B516BB"/>
    <w:rsid w:val="00B830DC"/>
    <w:rsid w:val="00BA23D3"/>
    <w:rsid w:val="00BC4D6B"/>
    <w:rsid w:val="00C12B51"/>
    <w:rsid w:val="00C24650"/>
    <w:rsid w:val="00C33079"/>
    <w:rsid w:val="00C47A0D"/>
    <w:rsid w:val="00C83A13"/>
    <w:rsid w:val="00C9068C"/>
    <w:rsid w:val="00C92967"/>
    <w:rsid w:val="00CA3D0C"/>
    <w:rsid w:val="00CA654B"/>
    <w:rsid w:val="00CD4C7B"/>
    <w:rsid w:val="00CD6AF0"/>
    <w:rsid w:val="00CE00F3"/>
    <w:rsid w:val="00CE7BBB"/>
    <w:rsid w:val="00D1408F"/>
    <w:rsid w:val="00D273D6"/>
    <w:rsid w:val="00D738D6"/>
    <w:rsid w:val="00D80795"/>
    <w:rsid w:val="00D87E00"/>
    <w:rsid w:val="00D9134D"/>
    <w:rsid w:val="00D96D11"/>
    <w:rsid w:val="00DA7A03"/>
    <w:rsid w:val="00DB1818"/>
    <w:rsid w:val="00DC309B"/>
    <w:rsid w:val="00DC42BA"/>
    <w:rsid w:val="00DC4DA2"/>
    <w:rsid w:val="00DF1888"/>
    <w:rsid w:val="00E62835"/>
    <w:rsid w:val="00E77645"/>
    <w:rsid w:val="00E83697"/>
    <w:rsid w:val="00E97871"/>
    <w:rsid w:val="00EC4A25"/>
    <w:rsid w:val="00F025A2"/>
    <w:rsid w:val="00F07388"/>
    <w:rsid w:val="00F16E22"/>
    <w:rsid w:val="00F2026E"/>
    <w:rsid w:val="00F2210A"/>
    <w:rsid w:val="00F37743"/>
    <w:rsid w:val="00F54A3D"/>
    <w:rsid w:val="00F60D18"/>
    <w:rsid w:val="00F653B8"/>
    <w:rsid w:val="00F71B89"/>
    <w:rsid w:val="00F7353C"/>
    <w:rsid w:val="00F76F8F"/>
    <w:rsid w:val="00F97596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5923A6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styleId="CommentReference">
    <w:name w:val="annotation reference"/>
    <w:basedOn w:val="DefaultParagraphFont"/>
    <w:rsid w:val="00322086"/>
    <w:rPr>
      <w:sz w:val="16"/>
      <w:szCs w:val="16"/>
    </w:rPr>
  </w:style>
  <w:style w:type="paragraph" w:styleId="CommentText">
    <w:name w:val="annotation text"/>
    <w:basedOn w:val="Normal"/>
    <w:link w:val="CommentTextChar"/>
    <w:rsid w:val="00322086"/>
  </w:style>
  <w:style w:type="character" w:customStyle="1" w:styleId="CommentTextChar">
    <w:name w:val="Comment Text Char"/>
    <w:basedOn w:val="DefaultParagraphFont"/>
    <w:link w:val="CommentText"/>
    <w:rsid w:val="0032208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220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22086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32208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22086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F16E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F3363-BEA2-4E4A-95A5-782A08306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149</TotalTime>
  <Pages>2</Pages>
  <Words>546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RRC tunnelling in MR-DC scenarios</vt:lpstr>
    </vt:vector>
  </TitlesOfParts>
  <Company>Nokia Siemens Networks</Company>
  <LinksUpToDate>false</LinksUpToDate>
  <CharactersWithSpaces>3819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RRC tunnelling in MR-DC scenarios</dc:title>
  <dc:subject>3GPP RAN3 #97</dc:subject>
  <dc:creator>Kordybach, Krzysztof (Nokia - PL/Wroclaw)</dc:creator>
  <cp:lastModifiedBy>Nokia</cp:lastModifiedBy>
  <cp:revision>7</cp:revision>
  <dcterms:created xsi:type="dcterms:W3CDTF">2017-08-04T10:00:00Z</dcterms:created>
  <dcterms:modified xsi:type="dcterms:W3CDTF">2017-08-11T13:26:00Z</dcterms:modified>
</cp:coreProperties>
</file>